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июль</w:t>
      </w:r>
      <w:r>
        <w:rPr>
          <w:b/>
        </w:rPr>
        <w:t xml:space="preserve"> 2025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 июля 2025 года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- ул. Фурманова, 15, 48, 50;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 июля 2025 года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- ул. Фурманова, 56;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- ул. Чапаева, 17;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 июля 2025 года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- ул. Чкалова, 24, 26;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 июля 2025 года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- ул. Чапаева, 14, 15;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28 июля 2025 года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- ул. Чкалова, 37, 45;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 июля 2025 года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ул. </w:t>
            </w:r>
            <w:r>
              <w:rPr>
                <w:color w:val="000000"/>
              </w:rPr>
              <w:t>Чапаева, 25</w:t>
            </w:r>
            <w:r>
              <w:rPr>
                <w:color w:val="000000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ул. </w:t>
            </w:r>
            <w:r>
              <w:rPr>
                <w:color w:val="000000"/>
              </w:rPr>
              <w:t>Чкалова, 16,21</w:t>
            </w:r>
            <w:r>
              <w:rPr>
                <w:color w:val="000000"/>
              </w:rPr>
              <w:t>.</w:t>
            </w:r>
          </w:p>
        </w:tc>
      </w:tr>
    </w:tbl>
    <w:p>
      <w:pPr>
        <w:pStyle w:val="Normal"/>
        <w:ind w:firstLine="708"/>
        <w:jc w:val="both"/>
        <w:rPr>
          <w:color w:val="C9211E"/>
        </w:rPr>
      </w:pPr>
      <w:r>
        <w:rPr>
          <w:b/>
          <w:i/>
          <w:u w:val="single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Application>LibreOffice/7.4.3.2$Windows_X86_64 LibreOffice_project/1048a8393ae2eeec98dff31b5c133c5f1d08b890</Application>
  <AppVersion>15.0000</AppVersion>
  <Pages>1</Pages>
  <Words>242</Words>
  <Characters>1519</Characters>
  <CharactersWithSpaces>1748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2024-06-04T15:36:09Z</cp:lastPrinted>
  <dcterms:modified xsi:type="dcterms:W3CDTF">2025-06-19T11:51:33Z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